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8B0924" w:rsidRPr="00F965B2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924" w:rsidRPr="00F965B2" w:rsidRDefault="008B0924" w:rsidP="009C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  <w:p w:rsidR="008B0924" w:rsidRPr="00F965B2" w:rsidRDefault="008B0924" w:rsidP="009C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  <w:p w:rsidR="008B0924" w:rsidRPr="00F965B2" w:rsidRDefault="008B0924" w:rsidP="009C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F965B2"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  <w:t>Приложение 2</w:t>
            </w:r>
            <w:r w:rsidRPr="00F965B2"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  <w:br/>
              <w:t>к Правилам приобретения</w:t>
            </w:r>
            <w:r w:rsidRPr="00F965B2"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  <w:br/>
              <w:t>товаров и услуг организаций,</w:t>
            </w:r>
            <w:r w:rsidRPr="00F965B2"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  <w:br/>
              <w:t>осуществляющих функции по</w:t>
            </w:r>
            <w:r w:rsidRPr="00F965B2"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  <w:br/>
              <w:t>защите прав ребенка</w:t>
            </w:r>
          </w:p>
        </w:tc>
      </w:tr>
      <w:tr w:rsidR="008B0924" w:rsidRPr="00F965B2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8B0924" w:rsidRPr="00F965B2" w:rsidTr="009C2CF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B0924" w:rsidRPr="00F965B2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B0924" w:rsidRPr="00F965B2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B0924" w:rsidRPr="00F965B2" w:rsidRDefault="008B0924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</w:tr>
    </w:tbl>
    <w:p w:rsidR="008B0924" w:rsidRPr="00F965B2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8B0924" w:rsidRPr="00F965B2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8B0924" w:rsidRPr="00F965B2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B0924" w:rsidRPr="00F965B2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</w:p>
    <w:p w:rsidR="00F965B2" w:rsidRPr="00F965B2" w:rsidRDefault="00F965B2" w:rsidP="008B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u w:val="single"/>
          <w:lang w:val="ru-RU" w:eastAsia="ru-RU" w:bidi="ar-SA"/>
        </w:rPr>
      </w:pPr>
    </w:p>
    <w:p w:rsidR="008B0924" w:rsidRPr="00F965B2" w:rsidRDefault="008B0924" w:rsidP="008B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u w:val="single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u w:val="single"/>
          <w:lang w:val="ru-RU" w:eastAsia="ru-RU" w:bidi="ar-SA"/>
        </w:rPr>
        <w:t>Приобретение продуктов питания</w:t>
      </w:r>
    </w:p>
    <w:p w:rsidR="008B0924" w:rsidRPr="00F965B2" w:rsidRDefault="008B0924" w:rsidP="008B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u w:val="single"/>
          <w:lang w:val="ru-RU" w:eastAsia="ru-RU" w:bidi="ar-SA"/>
        </w:rPr>
      </w:pP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Жезказган</w:t>
      </w:r>
      <w:proofErr w:type="spell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" управления здравоохранения Карагандинской области</w:t>
      </w: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br/>
        <w:t xml:space="preserve">Карагандинская область, </w:t>
      </w:r>
      <w:proofErr w:type="spell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г</w:t>
      </w:r>
      <w:proofErr w:type="gram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.Ж</w:t>
      </w:r>
      <w:proofErr w:type="gram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езказган</w:t>
      </w:r>
      <w:proofErr w:type="spell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емайл</w:t>
      </w:r>
      <w:proofErr w:type="spell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.: </w:t>
      </w:r>
      <w:hyperlink r:id="rId5" w:history="1"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aibek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56@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mail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.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ru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, индекс 100600, интернет сайт </w:t>
      </w:r>
      <w:hyperlink r:id="rId6" w:history="1"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http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://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balbobek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-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zhez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.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kz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/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eastAsia="ru-RU" w:bidi="ar-SA"/>
          </w:rPr>
          <w:t>ru</w:t>
        </w:r>
        <w:r w:rsidRPr="00F965B2">
          <w:rPr>
            <w:rStyle w:val="af4"/>
            <w:rFonts w:ascii="Times New Roman" w:eastAsia="Times New Roman" w:hAnsi="Times New Roman" w:cs="Times New Roman"/>
            <w:i w:val="0"/>
            <w:iCs w:val="0"/>
            <w:sz w:val="21"/>
            <w:szCs w:val="21"/>
            <w:lang w:val="ru-RU" w:eastAsia="ru-RU" w:bidi="ar-SA"/>
          </w:rPr>
          <w:t>/</w:t>
        </w:r>
      </w:hyperlink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</w:pPr>
    </w:p>
    <w:p w:rsidR="008B0924" w:rsidRPr="00F965B2" w:rsidRDefault="008B0924" w:rsidP="008B09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b/>
          <w:bCs/>
          <w:i w:val="0"/>
          <w:iCs w:val="0"/>
          <w:sz w:val="21"/>
          <w:szCs w:val="21"/>
          <w:lang w:val="ru-RU" w:eastAsia="ru-RU" w:bidi="ar-SA"/>
        </w:rPr>
        <w:t>1. Общие положения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1. Конкурс проводится с целью выбора поставщика по продукты питания 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F965B2"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1 797 733,34</w:t>
      </w:r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  </w:t>
      </w:r>
      <w:r w:rsidR="00F965B2"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тенге (Один</w:t>
      </w:r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 </w:t>
      </w:r>
      <w:proofErr w:type="gramStart"/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миллион</w:t>
      </w:r>
      <w:r w:rsidR="00F965B2"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 семьсот девяноста</w:t>
      </w:r>
      <w:proofErr w:type="gramEnd"/>
      <w:r w:rsidR="00F965B2"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 семь </w:t>
      </w:r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тысяч </w:t>
      </w:r>
      <w:r w:rsidR="00F965B2"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семьсот тридцать три</w:t>
      </w:r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 тенге </w:t>
      </w:r>
      <w:r w:rsidR="00F965B2"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34</w:t>
      </w:r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 xml:space="preserve"> </w:t>
      </w:r>
      <w:proofErr w:type="spellStart"/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тиын</w:t>
      </w:r>
      <w:proofErr w:type="spellEnd"/>
      <w:r w:rsidRPr="00F965B2">
        <w:rPr>
          <w:rFonts w:ascii="Times New Roman" w:eastAsia="Times New Roman" w:hAnsi="Times New Roman" w:cs="Times New Roman"/>
          <w:b/>
          <w:i w:val="0"/>
          <w:iCs w:val="0"/>
          <w:sz w:val="21"/>
          <w:szCs w:val="21"/>
          <w:lang w:val="ru-RU" w:eastAsia="ru-RU" w:bidi="ar-SA"/>
        </w:rPr>
        <w:t>).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      Настоящая конкурсная документация включает в себя: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приложениям 1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и </w:t>
      </w:r>
      <w:hyperlink r:id="rId8" w:anchor="z213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2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к Конкурсной документации;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приложению 3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и </w:t>
      </w:r>
      <w:hyperlink r:id="rId10" w:anchor="z262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4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к Конкурсной документации;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приложениям 5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и </w:t>
      </w:r>
      <w:hyperlink r:id="rId12" w:anchor="z300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6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к Конкурсной документации;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приложению 7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к Конкурсной документации.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B0924" w:rsidRPr="00F965B2" w:rsidRDefault="008B0924" w:rsidP="008B092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  <w:lang w:val="ru-RU"/>
        </w:rPr>
        <w:t xml:space="preserve">№ 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</w:rPr>
        <w:t>KZ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  <w:lang w:val="ru-RU"/>
        </w:rPr>
        <w:t>510705022532251001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</w:rPr>
        <w:t> 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  <w:lang w:val="ru-RU"/>
        </w:rPr>
        <w:t xml:space="preserve"> РГУ "КОМИТЕТ КАЗНАЧЕЙСТВА МИНИСТЕРСТВА ФИНАНСОВ РК", БИК 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</w:rPr>
        <w:t>KKMFKZ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  <w:lang w:val="ru-RU"/>
        </w:rPr>
        <w:t>2</w:t>
      </w:r>
      <w:r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</w:rPr>
        <w:t>A</w:t>
      </w:r>
      <w:r w:rsidR="00F965B2" w:rsidRPr="00F965B2">
        <w:rPr>
          <w:rFonts w:ascii="Times New Roman" w:hAnsi="Times New Roman" w:cs="Times New Roman"/>
          <w:i w:val="0"/>
          <w:color w:val="333333"/>
          <w:sz w:val="21"/>
          <w:szCs w:val="21"/>
          <w:shd w:val="clear" w:color="auto" w:fill="F9F9F9"/>
          <w:lang w:val="ru-RU"/>
        </w:rPr>
        <w:t>,</w:t>
      </w:r>
      <w:r w:rsidR="00F965B2" w:rsidRPr="00F965B2">
        <w:rPr>
          <w:rFonts w:ascii="Times New Roman" w:hAnsi="Times New Roman" w:cs="Times New Roman"/>
          <w:b/>
          <w:i w:val="0"/>
          <w:color w:val="333333"/>
          <w:sz w:val="21"/>
          <w:szCs w:val="21"/>
          <w:shd w:val="clear" w:color="auto" w:fill="F9F9F9"/>
          <w:lang w:val="ru-RU"/>
        </w:rPr>
        <w:t>БИН 950 440 000 556</w:t>
      </w:r>
    </w:p>
    <w:p w:rsidR="008B0924" w:rsidRPr="00F965B2" w:rsidRDefault="008B0924" w:rsidP="008B092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банковской гарантии.</w:t>
      </w:r>
    </w:p>
    <w:p w:rsidR="008B0924" w:rsidRPr="00F965B2" w:rsidRDefault="008B0924" w:rsidP="008B0924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Жезказган</w:t>
      </w:r>
      <w:proofErr w:type="spell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г</w:t>
      </w:r>
      <w:proofErr w:type="gramStart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.Ж</w:t>
      </w:r>
      <w:proofErr w:type="gram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езказган</w:t>
      </w:r>
      <w:proofErr w:type="spellEnd"/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F965B2">
          <w:rPr>
            <w:rFonts w:ascii="Times New Roman" w:eastAsia="Times New Roman" w:hAnsi="Times New Roman" w:cs="Times New Roman"/>
            <w:i w:val="0"/>
            <w:iCs w:val="0"/>
            <w:color w:val="0000FF"/>
            <w:sz w:val="21"/>
            <w:szCs w:val="21"/>
            <w:u w:val="single"/>
            <w:lang w:val="ru-RU" w:eastAsia="ru-RU" w:bidi="ar-SA"/>
          </w:rPr>
          <w:t>пункту 24</w:t>
        </w:r>
      </w:hyperlink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до </w:t>
      </w:r>
      <w:r w:rsidR="00F965B2"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29</w:t>
      </w: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 xml:space="preserve"> марта 2018 года до </w:t>
      </w:r>
      <w:r w:rsidR="00F965B2"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10</w:t>
      </w: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,00 часов.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B0924" w:rsidRPr="00F965B2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F965B2"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8B0924" w:rsidRPr="00F965B2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924" w:rsidRPr="00F965B2" w:rsidRDefault="008B0924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7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"/>
              <w:gridCol w:w="8866"/>
              <w:gridCol w:w="721"/>
            </w:tblGrid>
            <w:tr w:rsidR="008B0924" w:rsidRPr="00F965B2" w:rsidTr="00411063">
              <w:trPr>
                <w:tblCellSpacing w:w="15" w:type="dxa"/>
              </w:trPr>
              <w:tc>
                <w:tcPr>
                  <w:tcW w:w="83" w:type="dxa"/>
                  <w:vAlign w:val="center"/>
                  <w:hideMark/>
                </w:tcPr>
                <w:p w:rsidR="008B0924" w:rsidRPr="00F965B2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542" w:type="dxa"/>
                  <w:gridSpan w:val="2"/>
                  <w:vAlign w:val="center"/>
                  <w:hideMark/>
                </w:tcPr>
                <w:p w:rsidR="008B0924" w:rsidRPr="00F965B2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8B0924" w:rsidRPr="00F965B2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  <w:p w:rsidR="008B0924" w:rsidRPr="00F965B2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  <w:p w:rsidR="008B0924" w:rsidRPr="00F965B2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  <w:tbl>
                  <w:tblPr>
                    <w:tblW w:w="927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0"/>
                    <w:gridCol w:w="3429"/>
                  </w:tblGrid>
                  <w:tr w:rsidR="008B0924" w:rsidRPr="00F965B2" w:rsidTr="00F965B2">
                    <w:trPr>
                      <w:tblCellSpacing w:w="15" w:type="dxa"/>
                    </w:trPr>
                    <w:tc>
                      <w:tcPr>
                        <w:tcW w:w="5805" w:type="dxa"/>
                        <w:vAlign w:val="center"/>
                        <w:hideMark/>
                      </w:tcPr>
                      <w:p w:rsidR="008B0924" w:rsidRPr="00F965B2" w:rsidRDefault="008B0924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3384" w:type="dxa"/>
                        <w:vAlign w:val="center"/>
                        <w:hideMark/>
                      </w:tcPr>
                      <w:p w:rsidR="00F965B2" w:rsidRPr="00F965B2" w:rsidRDefault="00F965B2" w:rsidP="009C2CFE">
                        <w:pPr>
                          <w:spacing w:after="0" w:line="240" w:lineRule="auto"/>
                          <w:ind w:right="38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  <w:p w:rsidR="00F965B2" w:rsidRPr="00F965B2" w:rsidRDefault="00F965B2" w:rsidP="009C2CFE">
                        <w:pPr>
                          <w:spacing w:after="0" w:line="240" w:lineRule="auto"/>
                          <w:ind w:right="38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  <w:p w:rsidR="00F965B2" w:rsidRPr="00F965B2" w:rsidRDefault="00F965B2" w:rsidP="009C2CFE">
                        <w:pPr>
                          <w:spacing w:after="0" w:line="240" w:lineRule="auto"/>
                          <w:ind w:right="38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  <w:p w:rsidR="00F965B2" w:rsidRPr="00F965B2" w:rsidRDefault="00F965B2" w:rsidP="009C2CFE">
                        <w:pPr>
                          <w:spacing w:after="0" w:line="240" w:lineRule="auto"/>
                          <w:ind w:right="38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  <w:p w:rsidR="008B0924" w:rsidRPr="00F965B2" w:rsidRDefault="008B0924" w:rsidP="009C2CFE">
                        <w:pPr>
                          <w:spacing w:after="0" w:line="240" w:lineRule="auto"/>
                          <w:ind w:right="38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8B0924" w:rsidRPr="00F965B2" w:rsidRDefault="008B0924" w:rsidP="009C2CFE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8B0924" w:rsidRPr="00F965B2" w:rsidRDefault="008B0924" w:rsidP="009C2CFE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8B0924" w:rsidRPr="00F965B2" w:rsidRDefault="008B0924" w:rsidP="009C2CFE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lastRenderedPageBreak/>
                    <w:t xml:space="preserve">Баланың құқықтарын қорғау жөніндегі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асыратын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тауарлары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жеткізушіні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  <w:p w:rsidR="008B0924" w:rsidRPr="00F965B2" w:rsidRDefault="008B0924" w:rsidP="009C2CFE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  <w:t>Азы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  <w:t>қ-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  <w:t xml:space="preserve">түлік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8B0924" w:rsidRPr="00F965B2" w:rsidRDefault="008B0924" w:rsidP="009C2CFE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u w:val="single"/>
                      <w:lang w:val="ru-RU" w:eastAsia="ru-RU" w:bidi="ar-SA"/>
                    </w:rPr>
                  </w:pPr>
                </w:p>
                <w:p w:rsidR="008B0924" w:rsidRPr="00F965B2" w:rsidRDefault="008B0924" w:rsidP="00411063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Конкурсты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облысы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балалар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мемлекеттік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г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.Ж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езказган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, Литке, 6,БСН 961140001378</w:t>
                  </w: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br/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Комитеті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" РММ</w:t>
                  </w: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емайл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aibek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56@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mail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.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ru</w:t>
                    </w:r>
                  </w:hyperlink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,</w:t>
                  </w: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kk-KZ" w:eastAsia="ru-RU" w:bidi="ar-SA"/>
                    </w:rPr>
                    <w:t xml:space="preserve"> интернет сайт</w:t>
                  </w: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http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://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balbobek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-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zhez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.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kz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/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eastAsia="ru-RU" w:bidi="ar-SA"/>
                      </w:rPr>
                      <w:t>ru</w:t>
                    </w:r>
                    <w:r w:rsidRPr="00F965B2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ru-RU" w:eastAsia="ru-RU" w:bidi="ar-SA"/>
                      </w:rPr>
                      <w:t>/</w:t>
                    </w:r>
                  </w:hyperlink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Жалпы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берушіні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–т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бойынша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Тауарларды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немесе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сатып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алу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1 797 733,34 </w:t>
                  </w:r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kk-KZ" w:eastAsia="ru-RU" w:bidi="ar-SA"/>
                    </w:rPr>
                    <w:t xml:space="preserve">теңге </w:t>
                  </w: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( </w:t>
                  </w:r>
                  <w:proofErr w:type="spellStart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Бі</w:t>
                  </w:r>
                  <w:proofErr w:type="gramStart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миллион </w:t>
                  </w:r>
                  <w:proofErr w:type="spellStart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жеті</w:t>
                  </w:r>
                  <w:proofErr w:type="spellEnd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жүз</w:t>
                  </w:r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тоқсан </w:t>
                  </w:r>
                  <w:proofErr w:type="spellStart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жеті</w:t>
                  </w:r>
                  <w:proofErr w:type="spellEnd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мың </w:t>
                  </w:r>
                  <w:proofErr w:type="spellStart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жеті</w:t>
                  </w:r>
                  <w:proofErr w:type="spellEnd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жүз </w:t>
                  </w:r>
                  <w:proofErr w:type="spellStart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отыз</w:t>
                  </w:r>
                  <w:proofErr w:type="spellEnd"/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үш</w:t>
                  </w: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теңге </w:t>
                  </w:r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34</w:t>
                  </w: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тиын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) </w:t>
                  </w: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теңгені құрайды. 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мыналарды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: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Конкурстық құжаттамаға 1 және 2-қосымшаларға сәйкес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нысандар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бойынша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заңды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жеке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жаттама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ға 3 және 4-қосымшаларға сәйкес көрсетілетін қызметтерді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немесе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тауарларды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жеткізушіні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бойынша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тапсырманы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;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жаттама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ға 5 және 6-қосымшаларға сәйкес таңдау өлшемшарттарын;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жаттама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ға 7-қосымшаға сәйкес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сатып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алынатын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тауарлар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тізбесін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қамтиды;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ниет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білдірген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беруші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немесе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тауарларды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сатып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алу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бі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пайызы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етуді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біреуімен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енгізеді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:</w:t>
                  </w:r>
                </w:p>
                <w:p w:rsidR="00411063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мынадай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шотында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 xml:space="preserve">ЖСК 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</w:rPr>
                    <w:t>KZ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>510705022532251001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</w:rPr>
                    <w:t> 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 xml:space="preserve"> РГУ "КОМИТЕТ КАЗНАЧЕЙСТВА МИНИСТЕРСТВА ФИНАНСОВ РК", БСН 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</w:rPr>
                    <w:t>KKMFKZ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>2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</w:rPr>
                    <w:t>A</w:t>
                  </w:r>
                  <w:r w:rsidR="00F965B2"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kk-KZ"/>
                    </w:rPr>
                    <w:t xml:space="preserve">, </w:t>
                  </w:r>
                  <w:r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 xml:space="preserve"> </w:t>
                  </w:r>
                  <w:r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r w:rsidR="00F965B2" w:rsidRPr="00F965B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ЖСН </w:t>
                  </w:r>
                  <w:r w:rsidR="00F965B2"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>950 440 000</w:t>
                  </w:r>
                  <w:r w:rsidR="00411063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> </w:t>
                  </w:r>
                  <w:r w:rsidR="00F965B2" w:rsidRPr="00F965B2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1"/>
                      <w:szCs w:val="21"/>
                      <w:shd w:val="clear" w:color="auto" w:fill="F9F9F9"/>
                      <w:lang w:val="ru-RU"/>
                    </w:rPr>
                    <w:t xml:space="preserve">556 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proofErr w:type="spellStart"/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кепілдік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берілген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жарнасы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тапсырыс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сатып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алуды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көрсетілсін);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банктік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кепілдік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Қазақстан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Білім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және ғылым министі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р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інің 2016 жылғы 30 маусымдағы № 412 бұйрығымен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бекітілген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Баланың құқықтарын қорғау жөніндегі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асыратын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тауарлары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сатып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алу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қағидаларының 24-тармағына сәйкес әлеуетті өнім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беруші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немесе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сенімхат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бойынша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пакетін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15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наурыз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 2018 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жыл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сағат 11,00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мерзімге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дейін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конкурсты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облысы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балалар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мемлекеттік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г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.Ж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езказган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мекенжайына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жібереді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немесе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хатшысына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береді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</w:t>
                  </w:r>
                </w:p>
                <w:p w:rsidR="008B0924" w:rsidRPr="00F965B2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беруші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конкурсты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тігілген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р</w:t>
                  </w:r>
                  <w:proofErr w:type="gram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бірінші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бекітіледі</w:t>
                  </w:r>
                  <w:proofErr w:type="spellEnd"/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44"/>
                    <w:gridCol w:w="81"/>
                  </w:tblGrid>
                  <w:tr w:rsidR="008B0924" w:rsidRPr="00F965B2" w:rsidTr="009C2C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F965B2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     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ұйымдастырушы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белгілеген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м</w:t>
                        </w:r>
                        <w:proofErr w:type="spellEnd"/>
                        <w:proofErr w:type="gram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өткеннен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кейін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ұсынылған құжаттар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тіркелуге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жатпайды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және әлеуетті өнім </w:t>
                        </w:r>
                        <w:proofErr w:type="spellStart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>берушілерге</w:t>
                        </w:r>
                        <w:proofErr w:type="spellEnd"/>
                        <w:r w:rsidRPr="00F965B2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  <w:t xml:space="preserve"> қайтарылады.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F965B2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</w:tc>
                  </w:tr>
                  <w:tr w:rsidR="008B0924" w:rsidRPr="00F965B2" w:rsidTr="009C2CFE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F965B2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F965B2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8B0924" w:rsidRPr="00F965B2" w:rsidRDefault="008B0924" w:rsidP="009C2CFE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  <w:p w:rsidR="008B0924" w:rsidRPr="00F965B2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  <w:p w:rsidR="008B0924" w:rsidRPr="00F965B2" w:rsidRDefault="008B0924" w:rsidP="009C2CFE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</w:tr>
            <w:tr w:rsidR="008B0924" w:rsidRPr="00F965B2" w:rsidTr="00411063">
              <w:trPr>
                <w:gridAfter w:val="1"/>
                <w:wAfter w:w="676" w:type="dxa"/>
                <w:tblCellSpacing w:w="15" w:type="dxa"/>
              </w:trPr>
              <w:tc>
                <w:tcPr>
                  <w:tcW w:w="83" w:type="dxa"/>
                  <w:vAlign w:val="center"/>
                  <w:hideMark/>
                </w:tcPr>
                <w:p w:rsidR="008B0924" w:rsidRPr="00F965B2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F965B2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8B0924" w:rsidRPr="00F965B2" w:rsidRDefault="008B0924" w:rsidP="009C2CFE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</w:tr>
          </w:tbl>
          <w:p w:rsidR="008B0924" w:rsidRPr="00F965B2" w:rsidRDefault="008B0924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</w:tr>
    </w:tbl>
    <w:p w:rsidR="00FF1441" w:rsidRPr="008B0924" w:rsidRDefault="00FF1441">
      <w:pPr>
        <w:rPr>
          <w:lang w:val="ru-RU"/>
        </w:rPr>
      </w:pPr>
    </w:p>
    <w:sectPr w:rsidR="00FF1441" w:rsidRPr="008B0924" w:rsidSect="008B09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24"/>
    <w:rsid w:val="00411063"/>
    <w:rsid w:val="007F0C3C"/>
    <w:rsid w:val="008B0924"/>
    <w:rsid w:val="0097235A"/>
    <w:rsid w:val="00CC5D1D"/>
    <w:rsid w:val="00D415EF"/>
    <w:rsid w:val="00F965B2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8B0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2018-03-02T05:04:00Z</dcterms:created>
  <dcterms:modified xsi:type="dcterms:W3CDTF">2018-03-15T08:33:00Z</dcterms:modified>
</cp:coreProperties>
</file>